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2" w:firstLineChars="200"/>
        <w:jc w:val="both"/>
        <w:rPr>
          <w:color w:val="auto"/>
        </w:rPr>
      </w:pPr>
      <w:bookmarkStart w:id="0" w:name="_Toc22804"/>
      <w:r>
        <w:rPr>
          <w:rFonts w:ascii="仿宋" w:hAnsi="仿宋" w:eastAsia="仿宋" w:cs="仿宋"/>
          <w:b/>
          <w:bCs w:val="0"/>
          <w:color w:val="auto"/>
          <w:kern w:val="0"/>
          <w:sz w:val="21"/>
          <w:szCs w:val="21"/>
          <w:u w:val="none"/>
          <w:bdr w:val="none" w:color="auto" w:sz="0" w:space="0"/>
        </w:rPr>
        <w:t>1. 营业执照要求</w:t>
      </w:r>
      <w:bookmarkEnd w:id="0"/>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0" w:firstLineChars="200"/>
        <w:jc w:val="left"/>
      </w:pPr>
      <w:bookmarkStart w:id="1" w:name="_Toc19049"/>
      <w:bookmarkEnd w:id="1"/>
      <w:r>
        <w:rPr>
          <w:rFonts w:hint="eastAsia" w:ascii="仿宋" w:hAnsi="仿宋" w:eastAsia="仿宋" w:cs="仿宋"/>
          <w:color w:val="333333"/>
          <w:kern w:val="2"/>
          <w:sz w:val="21"/>
          <w:szCs w:val="21"/>
          <w:bdr w:val="none" w:color="auto" w:sz="0" w:space="0"/>
          <w:lang w:val="en-US" w:eastAsia="zh-CN" w:bidi="ar"/>
        </w:rPr>
        <w:t>投标人须是中华人民共和国境内具有独立承担民事责任能力的法人，或具备国家认可经营资格的其他组织。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0" w:firstLineChars="200"/>
        <w:jc w:val="left"/>
      </w:pPr>
      <w:r>
        <w:rPr>
          <w:rFonts w:hint="eastAsia" w:ascii="仿宋" w:hAnsi="仿宋" w:eastAsia="仿宋" w:cs="仿宋"/>
          <w:color w:val="333333"/>
          <w:kern w:val="2"/>
          <w:sz w:val="21"/>
          <w:szCs w:val="21"/>
          <w:bdr w:val="none" w:color="auto" w:sz="0" w:space="0"/>
          <w:lang w:val="en-US" w:eastAsia="zh-CN" w:bidi="ar"/>
        </w:rPr>
        <w:t>（1）投标人为企业的，应具有合法有效的企业法人营业执照、税务登记证及组织机构代码证或证照合一的营业执照；</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0" w:firstLineChars="200"/>
        <w:jc w:val="left"/>
      </w:pPr>
      <w:r>
        <w:rPr>
          <w:rFonts w:hint="eastAsia" w:ascii="仿宋" w:hAnsi="仿宋" w:eastAsia="仿宋" w:cs="仿宋"/>
          <w:color w:val="333333"/>
          <w:kern w:val="2"/>
          <w:sz w:val="21"/>
          <w:szCs w:val="21"/>
          <w:bdr w:val="none" w:color="auto" w:sz="0" w:space="0"/>
          <w:lang w:val="en-US" w:eastAsia="zh-CN" w:bidi="ar"/>
        </w:rPr>
        <w:t>（2）投标人为分公司的，应具有合法有效的营业执照、税务登记证及组织机构代码证或证照合一的营业执照和母公司合法授权书。总公司与分支机构只可一家参与投标，同时参与投标视为投标无效；</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0" w:firstLineChars="200"/>
        <w:jc w:val="left"/>
      </w:pPr>
      <w:r>
        <w:rPr>
          <w:rFonts w:hint="eastAsia" w:ascii="仿宋" w:hAnsi="仿宋" w:eastAsia="仿宋" w:cs="仿宋"/>
          <w:color w:val="333333"/>
          <w:kern w:val="2"/>
          <w:sz w:val="21"/>
          <w:szCs w:val="21"/>
          <w:bdr w:val="none" w:color="auto" w:sz="0" w:space="0"/>
          <w:lang w:val="en-US" w:eastAsia="zh-CN" w:bidi="ar"/>
        </w:rPr>
        <w:t>（3）投标人为事业单位的，投标人应经全国各级事业单位登记管理机关核准登记或者备案，具有合法有效的事业单位法人证书。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rightChars="0" w:firstLine="422" w:firstLineChars="200"/>
        <w:jc w:val="both"/>
        <w:outlineLvl w:val="1"/>
        <w:rPr>
          <w:color w:val="auto"/>
        </w:rPr>
      </w:pPr>
      <w:bookmarkStart w:id="2" w:name="_Toc29095"/>
      <w:r>
        <w:rPr>
          <w:rFonts w:hint="eastAsia" w:ascii="仿宋" w:hAnsi="仿宋" w:eastAsia="仿宋" w:cs="仿宋"/>
          <w:b/>
          <w:bCs w:val="0"/>
          <w:color w:val="auto"/>
          <w:kern w:val="2"/>
          <w:sz w:val="21"/>
          <w:szCs w:val="21"/>
          <w:u w:val="none"/>
          <w:bdr w:val="none" w:color="auto" w:sz="0" w:space="0"/>
          <w:lang w:val="en-US" w:eastAsia="zh-CN" w:bidi="ar"/>
        </w:rPr>
        <w:t>2.既往业绩要求</w:t>
      </w:r>
      <w:bookmarkEnd w:id="2"/>
    </w:p>
    <w:p>
      <w:pPr>
        <w:pStyle w:val="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firstLineChars="200"/>
        <w:jc w:val="both"/>
      </w:pPr>
      <w:r>
        <w:rPr>
          <w:rFonts w:hint="eastAsia" w:ascii="仿宋" w:hAnsi="仿宋" w:eastAsia="仿宋" w:cs="仿宋"/>
          <w:color w:val="333333"/>
          <w:kern w:val="2"/>
          <w:sz w:val="21"/>
          <w:szCs w:val="21"/>
          <w:bdr w:val="none" w:color="auto" w:sz="0" w:space="0"/>
        </w:rPr>
        <w:t>（1）投标人在2020年1月1日至投标截止日（以合同签署时间为准）具有</w:t>
      </w:r>
      <w:r>
        <w:rPr>
          <w:rFonts w:hint="eastAsia" w:ascii="仿宋" w:hAnsi="仿宋" w:eastAsia="仿宋" w:cs="仿宋"/>
          <w:color w:val="333333"/>
          <w:kern w:val="2"/>
          <w:sz w:val="21"/>
          <w:szCs w:val="21"/>
          <w:bdr w:val="none" w:color="auto" w:sz="0" w:space="0"/>
          <w:lang w:val="en-US" w:eastAsia="zh-CN"/>
        </w:rPr>
        <w:t>2</w:t>
      </w:r>
      <w:r>
        <w:rPr>
          <w:rFonts w:hint="eastAsia" w:ascii="仿宋" w:hAnsi="仿宋" w:eastAsia="仿宋" w:cs="仿宋"/>
          <w:color w:val="333333"/>
          <w:kern w:val="2"/>
          <w:sz w:val="21"/>
          <w:szCs w:val="21"/>
          <w:bdr w:val="none" w:color="auto" w:sz="0" w:space="0"/>
        </w:rPr>
        <w:t>项</w:t>
      </w:r>
      <w:r>
        <w:rPr>
          <w:rFonts w:hint="eastAsia" w:ascii="仿宋" w:hAnsi="仿宋" w:eastAsia="仿宋" w:cs="仿宋"/>
          <w:color w:val="333333"/>
          <w:kern w:val="2"/>
          <w:sz w:val="21"/>
          <w:szCs w:val="21"/>
          <w:bdr w:val="none" w:color="auto" w:sz="0" w:space="0"/>
          <w:lang w:val="en-US" w:eastAsia="zh-CN"/>
        </w:rPr>
        <w:t>同</w:t>
      </w:r>
      <w:r>
        <w:rPr>
          <w:rFonts w:hint="eastAsia" w:ascii="仿宋" w:hAnsi="仿宋" w:eastAsia="仿宋" w:cs="仿宋"/>
          <w:color w:val="333333"/>
          <w:kern w:val="2"/>
          <w:sz w:val="21"/>
          <w:szCs w:val="21"/>
          <w:bdr w:val="none" w:color="auto" w:sz="0" w:space="0"/>
        </w:rPr>
        <w:t>类型业绩</w:t>
      </w:r>
      <w:r>
        <w:rPr>
          <w:rFonts w:hint="eastAsia" w:ascii="仿宋" w:hAnsi="仿宋" w:eastAsia="仿宋" w:cs="仿宋"/>
          <w:color w:val="333333"/>
          <w:kern w:val="2"/>
          <w:sz w:val="21"/>
          <w:szCs w:val="21"/>
          <w:bdr w:val="none" w:color="auto" w:sz="0" w:space="0"/>
          <w:lang w:eastAsia="zh-CN"/>
        </w:rPr>
        <w:t>，</w:t>
      </w:r>
      <w:r>
        <w:rPr>
          <w:rFonts w:hint="eastAsia" w:ascii="仿宋" w:hAnsi="仿宋" w:eastAsia="仿宋" w:cs="仿宋"/>
          <w:color w:val="333333"/>
          <w:kern w:val="2"/>
          <w:sz w:val="21"/>
          <w:szCs w:val="21"/>
          <w:bdr w:val="none" w:color="auto" w:sz="0" w:space="0"/>
        </w:rPr>
        <w:t>并提供相应的验收或结算证明（验收或结算证明应体现金额）。</w:t>
      </w:r>
    </w:p>
    <w:p>
      <w:pPr>
        <w:pStyle w:val="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firstLineChars="200"/>
        <w:jc w:val="both"/>
      </w:pPr>
      <w:r>
        <w:rPr>
          <w:rFonts w:hint="eastAsia" w:ascii="仿宋" w:hAnsi="仿宋" w:eastAsia="仿宋" w:cs="仿宋"/>
          <w:color w:val="333333"/>
          <w:kern w:val="2"/>
          <w:sz w:val="21"/>
          <w:szCs w:val="21"/>
          <w:bdr w:val="none" w:color="auto" w:sz="0" w:space="0"/>
        </w:rPr>
        <w:t>（2）投标人提供的业绩证明文件包括：业绩合同及基于该业绩合同的验收或结算证明（</w:t>
      </w:r>
      <w:bookmarkStart w:id="3" w:name="_GoBack"/>
      <w:bookmarkEnd w:id="3"/>
      <w:r>
        <w:rPr>
          <w:rFonts w:hint="eastAsia" w:ascii="仿宋" w:hAnsi="仿宋" w:eastAsia="仿宋" w:cs="仿宋"/>
          <w:color w:val="333333"/>
          <w:kern w:val="2"/>
          <w:sz w:val="21"/>
          <w:szCs w:val="21"/>
          <w:bdr w:val="none" w:color="auto" w:sz="0" w:space="0"/>
        </w:rPr>
        <w:t>验收或结算证明应体现金额）。业绩合同应至少涵盖合同首页、合同签署页、合同期限、服务名称、服务内容等内容，服务验收或结算证明应有合同双方签字或盖章，以及确认时间。</w:t>
      </w:r>
    </w:p>
    <w:p>
      <w:pPr>
        <w:pStyle w:val="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20" w:firstLineChars="200"/>
        <w:jc w:val="both"/>
      </w:pPr>
      <w:r>
        <w:rPr>
          <w:rFonts w:hint="eastAsia" w:ascii="仿宋" w:hAnsi="仿宋" w:eastAsia="仿宋" w:cs="仿宋"/>
          <w:color w:val="333333"/>
          <w:kern w:val="2"/>
          <w:sz w:val="21"/>
          <w:szCs w:val="21"/>
          <w:bdr w:val="none" w:color="auto" w:sz="0" w:space="0"/>
        </w:rPr>
        <w:t>（</w:t>
      </w:r>
      <w:r>
        <w:rPr>
          <w:rFonts w:hint="eastAsia" w:ascii="仿宋" w:hAnsi="仿宋" w:eastAsia="仿宋" w:cs="仿宋"/>
          <w:color w:val="333333"/>
          <w:kern w:val="2"/>
          <w:sz w:val="21"/>
          <w:szCs w:val="21"/>
          <w:bdr w:val="none" w:color="auto" w:sz="0" w:space="0"/>
          <w:lang w:val="en-US" w:eastAsia="zh-CN"/>
        </w:rPr>
        <w:t>3</w:t>
      </w:r>
      <w:r>
        <w:rPr>
          <w:rFonts w:hint="eastAsia" w:ascii="仿宋" w:hAnsi="仿宋" w:eastAsia="仿宋" w:cs="仿宋"/>
          <w:color w:val="333333"/>
          <w:kern w:val="2"/>
          <w:sz w:val="21"/>
          <w:szCs w:val="21"/>
          <w:bdr w:val="none" w:color="auto" w:sz="0" w:space="0"/>
        </w:rPr>
        <w:t>）未提供业绩证明文件或提供的业绩证明文件无法认定上述业绩要求的，视为无效业绩。</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2" w:firstLineChars="200"/>
        <w:jc w:val="left"/>
      </w:pPr>
      <w:r>
        <w:rPr>
          <w:rFonts w:hint="eastAsia" w:ascii="仿宋" w:hAnsi="仿宋" w:eastAsia="仿宋" w:cs="仿宋"/>
          <w:b/>
          <w:bCs/>
          <w:color w:val="333333"/>
          <w:kern w:val="0"/>
          <w:sz w:val="21"/>
          <w:szCs w:val="21"/>
          <w:bdr w:val="none" w:color="auto" w:sz="0" w:space="0"/>
          <w:lang w:val="en-US" w:eastAsia="zh-CN" w:bidi="ar"/>
        </w:rPr>
        <w:t>4 .财务要求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0" w:firstLineChars="200"/>
        <w:jc w:val="left"/>
      </w:pPr>
      <w:r>
        <w:rPr>
          <w:rFonts w:hint="eastAsia" w:ascii="仿宋" w:hAnsi="仿宋" w:eastAsia="仿宋" w:cs="仿宋"/>
          <w:color w:val="333333"/>
          <w:kern w:val="2"/>
          <w:sz w:val="21"/>
          <w:szCs w:val="21"/>
          <w:bdr w:val="none" w:color="auto" w:sz="0" w:space="0"/>
          <w:lang w:val="en-US" w:eastAsia="zh-CN" w:bidi="ar"/>
        </w:rPr>
        <w:t>投标人提供近三年（2019至2021年）经会计师事务所或审计机构审计的财务会计报告，包括资产负债表、现金流量表、利润表。成立时间短于三年的投标人，应提供自成立时起的审计报告。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2" w:firstLineChars="200"/>
        <w:jc w:val="left"/>
      </w:pPr>
      <w:r>
        <w:rPr>
          <w:rFonts w:hint="eastAsia" w:ascii="仿宋" w:hAnsi="仿宋" w:eastAsia="仿宋" w:cs="仿宋"/>
          <w:b/>
          <w:bCs/>
          <w:color w:val="333333"/>
          <w:kern w:val="0"/>
          <w:sz w:val="21"/>
          <w:szCs w:val="21"/>
          <w:bdr w:val="none" w:color="auto" w:sz="0" w:space="0"/>
          <w:lang w:val="en-US" w:eastAsia="zh-CN" w:bidi="ar"/>
        </w:rPr>
        <w:t>5 .信誉要求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200"/>
      </w:pPr>
      <w:r>
        <w:rPr>
          <w:rFonts w:hint="eastAsia" w:ascii="仿宋" w:hAnsi="仿宋" w:eastAsia="仿宋" w:cs="仿宋"/>
          <w:color w:val="333333"/>
          <w:kern w:val="2"/>
          <w:sz w:val="21"/>
          <w:szCs w:val="21"/>
          <w:bdr w:val="none" w:color="auto" w:sz="0" w:space="0"/>
        </w:rPr>
        <w:t xml:space="preserve">（1）投标人不得被各级法院中列入失信被执行人名单；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200"/>
      </w:pPr>
      <w:r>
        <w:rPr>
          <w:rFonts w:hint="eastAsia" w:ascii="仿宋" w:hAnsi="仿宋" w:eastAsia="仿宋" w:cs="仿宋"/>
          <w:color w:val="333333"/>
          <w:kern w:val="2"/>
          <w:sz w:val="21"/>
          <w:szCs w:val="21"/>
          <w:bdr w:val="none" w:color="auto" w:sz="0" w:space="0"/>
        </w:rPr>
        <w:t>（2）投标人自2020年1月1日起至投标截止时间止，投标人或其法定代表人、拟委任的项目负责人无行贿犯罪行为的。为便于招标人复核，投标人应自行到中国裁判文书网；（http://wenshu.court.gov.cn）查询本单位及其法定代表人、拟委任的项目负责人的行贿犯罪信息，确认没有行贿犯罪的页面截图打印出来，写明“经查我单位及法定代表人、项目负责人在截至本次投标时无行贿犯罪记录”加盖其公司公章提供给招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200"/>
      </w:pPr>
      <w:r>
        <w:rPr>
          <w:rFonts w:hint="eastAsia" w:ascii="仿宋" w:hAnsi="仿宋" w:eastAsia="仿宋" w:cs="仿宋"/>
          <w:color w:val="333333"/>
          <w:kern w:val="2"/>
          <w:sz w:val="21"/>
          <w:szCs w:val="21"/>
          <w:bdr w:val="none" w:color="auto" w:sz="0" w:space="0"/>
        </w:rPr>
        <w:t xml:space="preserve">（3）投标人承诺：中国海油在职员工（不含正式派出的）未有在投标人单位担任股东、法人代表、董事、监事和其他任职人员的情形。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200"/>
      </w:pPr>
      <w:r>
        <w:rPr>
          <w:rFonts w:hint="eastAsia" w:ascii="仿宋" w:hAnsi="仿宋" w:eastAsia="仿宋" w:cs="仿宋"/>
          <w:color w:val="333333"/>
          <w:kern w:val="2"/>
          <w:sz w:val="21"/>
          <w:szCs w:val="21"/>
          <w:bdr w:val="none" w:color="auto" w:sz="0" w:space="0"/>
        </w:rPr>
        <w:t>注：（上述带网站网址的信誉要求条款，投标人请自行查询，将查询结果加盖公章后放入投标文件）。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 w:firstLine="422" w:firstLineChars="200"/>
        <w:jc w:val="left"/>
      </w:pPr>
      <w:r>
        <w:rPr>
          <w:rFonts w:hint="eastAsia" w:ascii="仿宋" w:hAnsi="仿宋" w:eastAsia="仿宋" w:cs="仿宋"/>
          <w:b/>
          <w:bCs/>
          <w:color w:val="333333"/>
          <w:kern w:val="0"/>
          <w:sz w:val="21"/>
          <w:szCs w:val="21"/>
          <w:bdr w:val="none" w:color="auto" w:sz="0" w:space="0"/>
          <w:lang w:val="en-US" w:eastAsia="zh-CN" w:bidi="ar"/>
        </w:rPr>
        <w:t xml:space="preserve">6. </w:t>
      </w:r>
      <w:r>
        <w:rPr>
          <w:rFonts w:hint="eastAsia" w:ascii="仿宋" w:hAnsi="仿宋" w:eastAsia="仿宋" w:cs="仿宋"/>
          <w:b/>
          <w:bCs/>
          <w:color w:val="333333"/>
          <w:kern w:val="2"/>
          <w:sz w:val="21"/>
          <w:szCs w:val="21"/>
          <w:bdr w:val="none" w:color="auto" w:sz="0" w:space="0"/>
          <w:lang w:val="en-US" w:eastAsia="zh-CN" w:bidi="ar"/>
        </w:rPr>
        <w:t>投标人或投标人所提供的第三方不得存在的其他情形</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1）投标人自2020年1月1日起至投标截止时间止，所承担的服务项目出现重大及以上安全事故（以事故书面认定材料出具时间为准），且经过官方机构或第三方权威机构调查并出具了明确的书面证据，认定应由投标人承担重大及以上安全事故责任并对投标人进行处理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2）投标人或投标人与本次招标相关的业务范围被中国海洋石油集团有限公司或本招标项目的所属单位禁用的；在处罚期内或处罚期满但在系统中的供应商档案中的“档案状态”为“采购冻结”或“业务状态”为“冻结”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（3）投标人处于责令整顿、停业或财产已被接管、冻结或处于破产状态的；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（4）投标人在“信用中国”网站（https://www.creditchina.gov.cn/）被列入严重失信主体名单；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（5）投标人在全国企业信用信息公示系统（http://www.gsxt.gov.cn）被列入严重违法失信名单（黑名单）信息或营业执照登记状态为吊销或注销的；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（6）投标人在“中国执行信息公开网”网站（http://zxgk.court.gov.cn/）被列入失信被执行人名单；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（7）投标人与本招标项目其他投标人单位负责人为同一人或存在控股、管理关系的；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（8）投标人与招标人、招标代理机构有利害关系且可能影响招标公正性的；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（9）投标人存在危害国家安全和损害中国海油合法权益的情形，在涉及国家机密或商业秘密的项目中存在不遵守相关法律法规及政府主管部门要求的情形；</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50" w:afterAutospacing="0"/>
        <w:ind w:left="0" w:right="0" w:firstLine="420" w:firstLineChars="200"/>
        <w:jc w:val="left"/>
      </w:pPr>
      <w:r>
        <w:rPr>
          <w:rFonts w:hint="eastAsia" w:ascii="仿宋" w:hAnsi="仿宋" w:eastAsia="仿宋" w:cs="仿宋"/>
          <w:color w:val="333333"/>
          <w:kern w:val="0"/>
          <w:sz w:val="21"/>
          <w:szCs w:val="21"/>
          <w:bdr w:val="none" w:color="auto" w:sz="0" w:space="0"/>
          <w:lang w:val="en-US" w:eastAsia="zh-CN" w:bidi="ar"/>
        </w:rPr>
        <w:t>（10）投标人未被中国海洋石油集团有限公司在集团范围内进行风险提示，且未在中国海油采办信息系统中被采购冻结或进入调查程序的。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C7691"/>
    <w:rsid w:val="662337B0"/>
    <w:rsid w:val="7796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333333"/>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2023-03-23T06:15:11Z</dcterms:created>
  <dc:creator>yanghr6</dc:creator>
  <cp:lastModifiedBy>杨鸿瑞</cp:lastModifiedBy>
  <dcterms:modified xsi:type="dcterms:W3CDTF">2023-03-23T06:40:52Z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78BA03597FC8414BBFC073E1A2641820</vt:lpwstr>
  </property>
</Properties>
</file>