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0" w:after="120"/>
        <w:ind w:right="-20"/>
        <w:jc w:val="center"/>
        <w:rPr>
          <w:rFonts w:ascii="Arial Unicode MS" w:eastAsia="Arial Unicode MS" w:cs="Arial Unicode MS"/>
          <w:b/>
          <w:spacing w:val="2"/>
          <w:w w:val="99"/>
          <w:sz w:val="52"/>
          <w:szCs w:val="52"/>
        </w:rPr>
      </w:pPr>
      <w:r>
        <w:rPr>
          <w:rFonts w:ascii="Arial Unicode MS" w:eastAsia="Arial Unicode MS" w:cs="Arial Unicode MS"/>
          <w:b/>
          <w:spacing w:val="2"/>
          <w:w w:val="99"/>
          <w:sz w:val="52"/>
          <w:szCs w:val="5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20320</wp:posOffset>
            </wp:positionV>
            <wp:extent cx="1596390" cy="1438275"/>
            <wp:effectExtent l="0" t="0" r="0" b="0"/>
            <wp:wrapTight wrapText="bothSides">
              <wp:wrapPolygon>
                <wp:start x="7475" y="0"/>
                <wp:lineTo x="2320" y="4577"/>
                <wp:lineTo x="1289" y="6008"/>
                <wp:lineTo x="0" y="8583"/>
                <wp:lineTo x="0" y="15163"/>
                <wp:lineTo x="1289" y="18310"/>
                <wp:lineTo x="1289" y="18882"/>
                <wp:lineTo x="5155" y="21457"/>
                <wp:lineTo x="5928" y="21457"/>
                <wp:lineTo x="11084" y="21457"/>
                <wp:lineTo x="11857" y="21457"/>
                <wp:lineTo x="15465" y="18882"/>
                <wp:lineTo x="15723" y="18310"/>
                <wp:lineTo x="17527" y="13732"/>
                <wp:lineTo x="21394" y="12016"/>
                <wp:lineTo x="21394" y="8869"/>
                <wp:lineTo x="14692" y="4577"/>
                <wp:lineTo x="9537" y="0"/>
                <wp:lineTo x="7475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20" w:after="120"/>
        <w:ind w:right="-20"/>
        <w:jc w:val="center"/>
        <w:rPr>
          <w:rFonts w:ascii="Arial Unicode MS" w:eastAsia="Arial Unicode MS" w:cs="Arial Unicode MS"/>
          <w:b/>
          <w:spacing w:val="2"/>
          <w:w w:val="99"/>
          <w:sz w:val="52"/>
          <w:szCs w:val="52"/>
        </w:rPr>
      </w:pPr>
    </w:p>
    <w:p>
      <w:pPr>
        <w:autoSpaceDE w:val="0"/>
        <w:autoSpaceDN w:val="0"/>
        <w:spacing w:before="120" w:after="120"/>
        <w:ind w:right="-20"/>
        <w:jc w:val="center"/>
        <w:rPr>
          <w:rFonts w:ascii="微软雅黑" w:hAnsi="微软雅黑" w:eastAsia="微软雅黑" w:cs="Arial Unicode MS"/>
          <w:b/>
          <w:spacing w:val="2"/>
          <w:w w:val="99"/>
          <w:sz w:val="52"/>
          <w:szCs w:val="52"/>
        </w:rPr>
      </w:pPr>
    </w:p>
    <w:p>
      <w:pPr>
        <w:jc w:val="center"/>
        <w:rPr>
          <w:rFonts w:ascii="微软雅黑" w:hAnsi="微软雅黑" w:eastAsia="微软雅黑" w:cs="Arial Unicode MS"/>
          <w:color w:val="000000"/>
          <w:spacing w:val="2"/>
          <w:w w:val="99"/>
          <w:sz w:val="52"/>
          <w:szCs w:val="52"/>
          <w:lang w:eastAsia="zh-CN"/>
        </w:rPr>
      </w:pPr>
      <w:r>
        <w:rPr>
          <w:rFonts w:hint="eastAsia" w:ascii="微软雅黑" w:hAnsi="微软雅黑" w:eastAsia="微软雅黑" w:cs="Arial Unicode MS"/>
          <w:color w:val="000000"/>
          <w:spacing w:val="2"/>
          <w:w w:val="99"/>
          <w:sz w:val="52"/>
          <w:szCs w:val="52"/>
          <w:lang w:eastAsia="zh-CN"/>
        </w:rPr>
        <w:t>中海油能源发展股份有限公司</w:t>
      </w:r>
    </w:p>
    <w:p>
      <w:pPr>
        <w:jc w:val="center"/>
        <w:rPr>
          <w:rFonts w:ascii="微软雅黑" w:hAnsi="微软雅黑" w:eastAsia="微软雅黑" w:cs="Arial Unicode MS"/>
          <w:b/>
          <w:spacing w:val="2"/>
          <w:w w:val="99"/>
          <w:sz w:val="52"/>
          <w:szCs w:val="52"/>
          <w:lang w:eastAsia="zh-CN"/>
        </w:rPr>
      </w:pPr>
    </w:p>
    <w:p>
      <w:pPr>
        <w:jc w:val="center"/>
        <w:rPr>
          <w:rFonts w:hint="eastAsia" w:ascii="微软雅黑" w:hAnsi="微软雅黑" w:eastAsia="微软雅黑" w:cs="Arial Unicode MS"/>
          <w:spacing w:val="2"/>
          <w:w w:val="99"/>
          <w:sz w:val="52"/>
          <w:szCs w:val="52"/>
          <w:u w:val="single"/>
          <w:lang w:val="en-US" w:eastAsia="zh-CN"/>
        </w:rPr>
      </w:pPr>
      <w:r>
        <w:rPr>
          <w:rFonts w:hint="eastAsia" w:ascii="微软雅黑" w:hAnsi="微软雅黑" w:eastAsia="微软雅黑" w:cs="Arial Unicode MS"/>
          <w:spacing w:val="2"/>
          <w:w w:val="99"/>
          <w:sz w:val="52"/>
          <w:szCs w:val="52"/>
          <w:u w:val="single"/>
          <w:lang w:val="en-US" w:eastAsia="zh-CN"/>
        </w:rPr>
        <w:t>四氯乙烯</w:t>
      </w:r>
    </w:p>
    <w:p>
      <w:pPr>
        <w:jc w:val="center"/>
        <w:rPr>
          <w:rFonts w:ascii="微软雅黑" w:hAnsi="微软雅黑" w:eastAsia="微软雅黑" w:cs="Arial Unicode MS"/>
          <w:b/>
          <w:spacing w:val="2"/>
          <w:w w:val="99"/>
          <w:sz w:val="52"/>
          <w:szCs w:val="52"/>
          <w:lang w:eastAsia="zh-CN"/>
        </w:rPr>
      </w:pPr>
      <w:r>
        <w:rPr>
          <w:rFonts w:hint="eastAsia" w:ascii="微软雅黑" w:hAnsi="微软雅黑" w:eastAsia="微软雅黑" w:cs="Arial Unicode MS"/>
          <w:b/>
          <w:spacing w:val="2"/>
          <w:w w:val="99"/>
          <w:sz w:val="52"/>
          <w:szCs w:val="52"/>
          <w:lang w:eastAsia="zh-CN"/>
        </w:rPr>
        <w:t>采购技术要求书</w:t>
      </w:r>
    </w:p>
    <w:p>
      <w:pPr>
        <w:jc w:val="center"/>
        <w:rPr>
          <w:rFonts w:ascii="微软雅黑" w:hAnsi="微软雅黑" w:eastAsia="微软雅黑" w:cs="Arial Unicode MS"/>
          <w:b/>
          <w:spacing w:val="2"/>
          <w:w w:val="99"/>
          <w:sz w:val="52"/>
          <w:szCs w:val="52"/>
          <w:lang w:eastAsia="zh-CN"/>
        </w:rPr>
      </w:pPr>
    </w:p>
    <w:p>
      <w:pPr>
        <w:pStyle w:val="3"/>
        <w:rPr>
          <w:rFonts w:ascii="微软雅黑" w:hAnsi="微软雅黑" w:eastAsia="微软雅黑" w:cs="Arial Unicode MS"/>
          <w:b/>
          <w:color w:val="000000"/>
          <w:w w:val="99"/>
          <w:sz w:val="44"/>
          <w:szCs w:val="44"/>
        </w:rPr>
      </w:pPr>
    </w:p>
    <w:p>
      <w:pPr>
        <w:autoSpaceDE w:val="0"/>
        <w:autoSpaceDN w:val="0"/>
        <w:spacing w:before="120" w:after="120" w:line="720" w:lineRule="auto"/>
        <w:ind w:right="-20"/>
        <w:rPr>
          <w:rFonts w:ascii="Arial Unicode MS" w:eastAsia="Arial Unicode MS" w:cs="Arial Unicode MS"/>
          <w:spacing w:val="2"/>
          <w:w w:val="99"/>
          <w:sz w:val="36"/>
          <w:szCs w:val="36"/>
          <w:lang w:eastAsia="zh-CN"/>
        </w:rPr>
      </w:pP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lang w:eastAsia="zh-CN"/>
        </w:rPr>
        <w:t xml:space="preserve">           编制：</w:t>
      </w: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u w:val="single"/>
          <w:lang w:eastAsia="zh-CN"/>
        </w:rPr>
        <w:t xml:space="preserve">    </w:t>
      </w:r>
      <w:r>
        <w:rPr>
          <w:rFonts w:hint="eastAsia" w:ascii="微软雅黑" w:hAnsi="微软雅黑" w:eastAsia="微软雅黑" w:cs="微软雅黑"/>
          <w:spacing w:val="2"/>
          <w:w w:val="99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u w:val="single"/>
          <w:lang w:eastAsia="zh-CN"/>
        </w:rPr>
        <w:t xml:space="preserve">     </w:t>
      </w:r>
    </w:p>
    <w:p>
      <w:pPr>
        <w:autoSpaceDE w:val="0"/>
        <w:autoSpaceDN w:val="0"/>
        <w:spacing w:before="120" w:after="120" w:line="720" w:lineRule="auto"/>
        <w:ind w:right="-20"/>
        <w:rPr>
          <w:rFonts w:ascii="Arial Unicode MS" w:eastAsia="Arial Unicode MS" w:cs="Arial Unicode MS"/>
          <w:spacing w:val="2"/>
          <w:w w:val="99"/>
          <w:sz w:val="36"/>
          <w:szCs w:val="36"/>
          <w:lang w:eastAsia="zh-CN"/>
        </w:rPr>
      </w:pP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lang w:eastAsia="zh-CN"/>
        </w:rPr>
        <w:t xml:space="preserve">           审核：</w:t>
      </w: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u w:val="single"/>
          <w:lang w:eastAsia="zh-CN"/>
        </w:rPr>
        <w:t xml:space="preserve">    </w:t>
      </w: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u w:val="single"/>
          <w:lang w:eastAsia="zh-CN"/>
        </w:rPr>
        <w:t xml:space="preserve">       </w:t>
      </w:r>
    </w:p>
    <w:p>
      <w:pPr>
        <w:autoSpaceDE w:val="0"/>
        <w:autoSpaceDN w:val="0"/>
        <w:spacing w:before="120" w:after="120" w:line="720" w:lineRule="auto"/>
        <w:ind w:right="-20"/>
        <w:rPr>
          <w:rFonts w:ascii="Arial Unicode MS" w:eastAsia="Arial Unicode MS" w:cs="Arial Unicode MS"/>
          <w:spacing w:val="2"/>
          <w:w w:val="99"/>
          <w:sz w:val="36"/>
          <w:szCs w:val="36"/>
          <w:lang w:eastAsia="zh-CN"/>
        </w:rPr>
      </w:pP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lang w:eastAsia="zh-CN"/>
        </w:rPr>
        <w:t xml:space="preserve">           批准：</w:t>
      </w: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u w:val="single"/>
          <w:lang w:eastAsia="zh-CN"/>
        </w:rPr>
        <w:t xml:space="preserve">   </w:t>
      </w: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Arial Unicode MS" w:eastAsia="Arial Unicode MS" w:cs="Arial Unicode MS"/>
          <w:spacing w:val="2"/>
          <w:w w:val="99"/>
          <w:sz w:val="36"/>
          <w:szCs w:val="36"/>
          <w:u w:val="single"/>
          <w:lang w:eastAsia="zh-CN"/>
        </w:rPr>
        <w:t xml:space="preserve">    </w:t>
      </w:r>
    </w:p>
    <w:p>
      <w:pPr>
        <w:widowControl/>
        <w:rPr>
          <w:rFonts w:ascii="宋体" w:eastAsia="宋体" w:cs="宋体"/>
          <w:b/>
          <w:color w:val="000000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br w:type="page"/>
      </w:r>
    </w:p>
    <w:p>
      <w:pPr>
        <w:spacing w:before="4" w:line="120" w:lineRule="exact"/>
        <w:rPr>
          <w:rFonts w:ascii="微软雅黑" w:hAnsi="微软雅黑" w:eastAsia="微软雅黑"/>
          <w:sz w:val="12"/>
          <w:szCs w:val="12"/>
          <w:lang w:eastAsia="zh-CN"/>
        </w:rPr>
      </w:pPr>
    </w:p>
    <w:p>
      <w:pPr>
        <w:pStyle w:val="19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bookmarkStart w:id="0" w:name="_Toc13249324"/>
      <w:bookmarkStart w:id="1" w:name="_Toc13248927"/>
      <w:r>
        <w:rPr>
          <w:rFonts w:ascii="微软雅黑" w:hAnsi="微软雅黑" w:eastAsia="微软雅黑" w:cs="Times New Roman"/>
          <w:bCs/>
          <w:color w:val="auto"/>
          <w:sz w:val="32"/>
          <w:szCs w:val="32"/>
        </w:rPr>
        <w:t>一、项目概况及总体要求</w:t>
      </w:r>
      <w:bookmarkEnd w:id="0"/>
      <w:bookmarkEnd w:id="1"/>
    </w:p>
    <w:p>
      <w:pPr>
        <w:spacing w:before="2" w:line="100" w:lineRule="exact"/>
        <w:rPr>
          <w:rFonts w:ascii="微软雅黑" w:hAnsi="微软雅黑" w:eastAsia="微软雅黑"/>
          <w:sz w:val="10"/>
          <w:szCs w:val="10"/>
          <w:lang w:eastAsia="zh-CN"/>
        </w:rPr>
      </w:pPr>
    </w:p>
    <w:p>
      <w:pPr>
        <w:pStyle w:val="4"/>
        <w:spacing w:line="257" w:lineRule="auto"/>
        <w:ind w:left="220" w:right="122" w:firstLine="42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我公司现有产品CTN-</w:t>
      </w:r>
      <w:r>
        <w:rPr>
          <w:rFonts w:hint="eastAsia" w:ascii="微软雅黑" w:hAnsi="微软雅黑" w:eastAsia="微软雅黑"/>
          <w:lang w:val="en-US" w:eastAsia="zh-CN"/>
        </w:rPr>
        <w:t>7852化学铣切保护涂料</w:t>
      </w:r>
      <w:r>
        <w:rPr>
          <w:rFonts w:hint="eastAsia" w:ascii="微软雅黑" w:hAnsi="微软雅黑" w:eastAsia="微软雅黑"/>
          <w:lang w:eastAsia="zh-CN"/>
        </w:rPr>
        <w:t>生产过程中使用到</w:t>
      </w:r>
      <w:r>
        <w:rPr>
          <w:rFonts w:hint="eastAsia" w:ascii="微软雅黑" w:hAnsi="微软雅黑" w:eastAsia="微软雅黑"/>
          <w:lang w:val="en-US" w:eastAsia="zh-CN"/>
        </w:rPr>
        <w:t>四氯乙烯</w:t>
      </w:r>
      <w:r>
        <w:rPr>
          <w:rFonts w:hint="eastAsia" w:ascii="微软雅黑" w:hAnsi="微软雅黑" w:eastAsia="微软雅黑"/>
          <w:lang w:eastAsia="zh-CN"/>
        </w:rPr>
        <w:t>，该成分</w:t>
      </w:r>
      <w:r>
        <w:rPr>
          <w:rFonts w:hint="eastAsia" w:ascii="微软雅黑" w:hAnsi="微软雅黑" w:eastAsia="微软雅黑"/>
          <w:lang w:val="en-US" w:eastAsia="zh-CN"/>
        </w:rPr>
        <w:t>在空气中不燃不爆，属于安全</w:t>
      </w:r>
      <w:r>
        <w:rPr>
          <w:rFonts w:hint="eastAsia" w:ascii="微软雅黑" w:hAnsi="微软雅黑" w:eastAsia="微软雅黑"/>
          <w:lang w:eastAsia="zh-CN"/>
        </w:rPr>
        <w:t>溶剂。</w:t>
      </w:r>
    </w:p>
    <w:p>
      <w:pPr>
        <w:pStyle w:val="19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bookmarkStart w:id="2" w:name="_Toc13248928"/>
      <w:bookmarkStart w:id="3" w:name="_Toc13249325"/>
      <w:r>
        <w:rPr>
          <w:rFonts w:ascii="微软雅黑" w:hAnsi="微软雅黑" w:eastAsia="微软雅黑" w:cs="Times New Roman"/>
          <w:bCs/>
          <w:color w:val="auto"/>
          <w:sz w:val="32"/>
          <w:szCs w:val="32"/>
        </w:rPr>
        <w:t>二、需求一览表</w:t>
      </w:r>
      <w:bookmarkEnd w:id="2"/>
      <w:bookmarkEnd w:id="3"/>
    </w:p>
    <w:tbl>
      <w:tblPr>
        <w:tblStyle w:val="11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701"/>
        <w:gridCol w:w="1275"/>
        <w:gridCol w:w="851"/>
        <w:gridCol w:w="85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0"/>
                <w:sz w:val="21"/>
                <w:szCs w:val="21"/>
              </w:rPr>
              <w:t>物资</w:t>
            </w:r>
            <w:r>
              <w:rPr>
                <w:rFonts w:ascii="微软雅黑" w:hAnsi="微软雅黑" w:eastAsia="微软雅黑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pacing w:val="0"/>
                <w:sz w:val="21"/>
                <w:szCs w:val="21"/>
              </w:rPr>
              <w:t>数量及单位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pacing w:val="0"/>
                <w:sz w:val="21"/>
                <w:szCs w:val="21"/>
              </w:rPr>
              <w:t>交货期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pacing w:val="0"/>
                <w:sz w:val="21"/>
                <w:szCs w:val="21"/>
              </w:rPr>
              <w:t>交货地点</w:t>
            </w:r>
          </w:p>
        </w:tc>
        <w:tc>
          <w:tcPr>
            <w:tcW w:w="1043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3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jc w:val="center"/>
              <w:rPr>
                <w:rFonts w:hint="eastAsia" w:ascii="微软雅黑" w:hAnsi="微软雅黑" w:eastAsia="微软雅黑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pacing w:val="0"/>
                <w:sz w:val="21"/>
                <w:szCs w:val="21"/>
                <w:lang w:val="en-US" w:eastAsia="zh-CN"/>
              </w:rPr>
              <w:t>四氯乙烯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pacing w:val="0"/>
                <w:sz w:val="21"/>
                <w:szCs w:val="21"/>
              </w:rPr>
              <w:t>/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微软雅黑" w:hAnsi="微软雅黑" w:eastAsia="微软雅黑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pacing w:val="0"/>
                <w:sz w:val="21"/>
                <w:szCs w:val="21"/>
                <w:lang w:val="en-US" w:eastAsia="zh-CN"/>
              </w:rPr>
              <w:t>详见需求单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0"/>
                <w:sz w:val="21"/>
                <w:szCs w:val="21"/>
              </w:rPr>
              <w:t>常州</w:t>
            </w:r>
          </w:p>
        </w:tc>
        <w:tc>
          <w:tcPr>
            <w:tcW w:w="1043" w:type="dxa"/>
            <w:vAlign w:val="center"/>
          </w:tcPr>
          <w:p>
            <w:pPr>
              <w:pStyle w:val="3"/>
              <w:jc w:val="center"/>
              <w:rPr>
                <w:rFonts w:ascii="微软雅黑" w:hAnsi="微软雅黑" w:eastAsia="微软雅黑"/>
                <w:spacing w:val="0"/>
                <w:sz w:val="21"/>
                <w:szCs w:val="21"/>
              </w:rPr>
            </w:pPr>
          </w:p>
        </w:tc>
      </w:tr>
    </w:tbl>
    <w:p>
      <w:pPr>
        <w:pStyle w:val="19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bookmarkStart w:id="4" w:name="_Toc13249326"/>
      <w:bookmarkStart w:id="5" w:name="_Toc13248929"/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三、执行标准/规范</w:t>
      </w:r>
    </w:p>
    <w:p>
      <w:pPr>
        <w:pStyle w:val="4"/>
        <w:spacing w:line="257" w:lineRule="auto"/>
        <w:ind w:left="220" w:right="122" w:firstLine="42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执行我司原材料技术要求。</w:t>
      </w:r>
    </w:p>
    <w:p>
      <w:pPr>
        <w:pStyle w:val="19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四、设计/使用条件</w:t>
      </w:r>
    </w:p>
    <w:p>
      <w:pPr>
        <w:pStyle w:val="4"/>
        <w:spacing w:line="257" w:lineRule="auto"/>
        <w:ind w:right="122" w:firstLine="0" w:firstLine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1．用</w:t>
      </w:r>
      <w:r>
        <w:rPr>
          <w:rFonts w:hint="eastAsia" w:ascii="微软雅黑" w:hAnsi="微软雅黑" w:eastAsia="微软雅黑"/>
          <w:lang w:val="en-US" w:eastAsia="zh-CN"/>
        </w:rPr>
        <w:t>四氯乙烯</w:t>
      </w:r>
      <w:r>
        <w:rPr>
          <w:rFonts w:hint="eastAsia" w:ascii="微软雅黑" w:hAnsi="微软雅黑" w:eastAsia="微软雅黑"/>
          <w:lang w:eastAsia="zh-CN"/>
        </w:rPr>
        <w:t>，作为CTN-</w:t>
      </w:r>
      <w:r>
        <w:rPr>
          <w:rFonts w:hint="eastAsia" w:ascii="微软雅黑" w:hAnsi="微软雅黑" w:eastAsia="微软雅黑"/>
          <w:lang w:val="en-US" w:eastAsia="zh-CN"/>
        </w:rPr>
        <w:t>7852化学铣切保护涂料</w:t>
      </w:r>
      <w:r>
        <w:rPr>
          <w:rFonts w:hint="eastAsia" w:ascii="微软雅黑" w:hAnsi="微软雅黑" w:eastAsia="微软雅黑"/>
          <w:lang w:eastAsia="zh-CN"/>
        </w:rPr>
        <w:t>生产原材料之一，该成分做主要溶剂，</w:t>
      </w:r>
      <w:r>
        <w:rPr>
          <w:rFonts w:hint="eastAsia" w:ascii="微软雅黑" w:hAnsi="微软雅黑" w:eastAsia="微软雅黑"/>
          <w:lang w:val="en-US" w:eastAsia="zh-CN"/>
        </w:rPr>
        <w:t>不燃不爆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pStyle w:val="4"/>
        <w:spacing w:line="257" w:lineRule="auto"/>
        <w:ind w:right="122" w:firstLine="0" w:firstLine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2. 到货/安装或使用地点：中海油常州环保涂料有限公司。</w:t>
      </w:r>
    </w:p>
    <w:p>
      <w:pPr>
        <w:pStyle w:val="19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  <w:lang w:val="en-US" w:eastAsia="zh-CN"/>
        </w:rPr>
        <w:t>*</w:t>
      </w: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五</w:t>
      </w:r>
      <w:r>
        <w:rPr>
          <w:rFonts w:ascii="微软雅黑" w:hAnsi="微软雅黑" w:eastAsia="微软雅黑" w:cs="Times New Roman"/>
          <w:bCs/>
          <w:color w:val="auto"/>
          <w:sz w:val="32"/>
          <w:szCs w:val="32"/>
        </w:rPr>
        <w:t>、</w:t>
      </w: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技术要求</w:t>
      </w:r>
    </w:p>
    <w:p>
      <w:pPr>
        <w:pStyle w:val="3"/>
        <w:rPr>
          <w:rFonts w:hint="eastAsia" w:ascii="微软雅黑" w:hAnsi="微软雅黑" w:eastAsia="Microsoft YaHei UI" w:cs="Times New Roman"/>
          <w:bCs/>
          <w:lang w:eastAsia="zh-CN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  <w:lang w:val="en-US" w:eastAsia="zh-CN"/>
        </w:rPr>
        <w:t>四氯乙烯</w:t>
      </w:r>
    </w:p>
    <w:tbl>
      <w:tblPr>
        <w:tblStyle w:val="10"/>
        <w:tblW w:w="6629" w:type="dxa"/>
        <w:jc w:val="center"/>
        <w:tblBorders>
          <w:top w:val="none" w:color="auto" w:sz="0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012"/>
        <w:gridCol w:w="1842"/>
        <w:gridCol w:w="1418"/>
      </w:tblGrid>
      <w:tr>
        <w:tblPrEx>
          <w:tblBorders>
            <w:top w:val="none" w:color="auto" w:sz="0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000000" w:sz="8" w:space="0"/>
          </w:tblBorders>
        </w:tblPrEx>
        <w:trPr>
          <w:trHeight w:val="454" w:hRule="atLeast"/>
          <w:jc w:val="center"/>
        </w:trPr>
        <w:tc>
          <w:tcPr>
            <w:tcW w:w="1357" w:type="dxa"/>
            <w:tcBorders>
              <w:top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四氯乙烯</w:t>
            </w:r>
          </w:p>
        </w:tc>
        <w:tc>
          <w:tcPr>
            <w:tcW w:w="20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外观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透明无机械杂质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目测</w:t>
            </w: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line="260" w:lineRule="exac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　</w:t>
            </w:r>
          </w:p>
        </w:tc>
        <w:tc>
          <w:tcPr>
            <w:tcW w:w="20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含量，%      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99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色谱法</w:t>
            </w: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line="260" w:lineRule="exac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　</w:t>
            </w:r>
          </w:p>
        </w:tc>
        <w:tc>
          <w:tcPr>
            <w:tcW w:w="20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等线"/>
                <w:sz w:val="21"/>
                <w:szCs w:val="21"/>
                <w:lang w:bidi="ar"/>
              </w:rPr>
              <w:t>水份 %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等线"/>
                <w:sz w:val="21"/>
                <w:szCs w:val="21"/>
                <w:lang w:bidi="ar"/>
              </w:rPr>
              <w:t>≤0.0</w:t>
            </w:r>
            <w:r>
              <w:rPr>
                <w:rFonts w:hint="eastAsia" w:cs="等线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卡尔费休法</w:t>
            </w:r>
          </w:p>
        </w:tc>
      </w:tr>
    </w:tbl>
    <w:p>
      <w:pPr>
        <w:pStyle w:val="3"/>
        <w:rPr>
          <w:rFonts w:ascii="微软雅黑" w:hAnsi="微软雅黑" w:eastAsia="微软雅黑" w:cs="Times New Roman"/>
          <w:bCs/>
        </w:rPr>
      </w:pPr>
      <w:r>
        <w:rPr>
          <w:rFonts w:hint="eastAsia" w:ascii="微软雅黑" w:hAnsi="微软雅黑" w:eastAsia="微软雅黑" w:cs="Times New Roman"/>
          <w:bCs/>
        </w:rPr>
        <w:t>六、检测和试验</w:t>
      </w:r>
    </w:p>
    <w:p>
      <w:pPr>
        <w:pStyle w:val="4"/>
        <w:numPr>
          <w:ilvl w:val="0"/>
          <w:numId w:val="1"/>
        </w:numPr>
        <w:spacing w:line="257" w:lineRule="auto"/>
        <w:ind w:right="122" w:firstLine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外观；</w:t>
      </w:r>
    </w:p>
    <w:p>
      <w:pPr>
        <w:pStyle w:val="4"/>
        <w:numPr>
          <w:ilvl w:val="0"/>
          <w:numId w:val="1"/>
        </w:numPr>
        <w:spacing w:line="257" w:lineRule="auto"/>
        <w:ind w:right="122" w:firstLine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含量</w:t>
      </w:r>
    </w:p>
    <w:p>
      <w:pPr>
        <w:pStyle w:val="4"/>
        <w:numPr>
          <w:ilvl w:val="0"/>
          <w:numId w:val="1"/>
        </w:numPr>
        <w:spacing w:line="257" w:lineRule="auto"/>
        <w:ind w:right="122" w:firstLine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水份</w:t>
      </w:r>
    </w:p>
    <w:p>
      <w:pPr>
        <w:pStyle w:val="19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  <w:lang w:val="en-US" w:eastAsia="zh-CN"/>
        </w:rPr>
        <w:t>*</w:t>
      </w: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七、标识、包装、运输和存储</w:t>
      </w:r>
    </w:p>
    <w:p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1. 产品标识</w:t>
      </w:r>
    </w:p>
    <w:p>
      <w:pPr>
        <w:pStyle w:val="4"/>
        <w:spacing w:line="257" w:lineRule="auto"/>
        <w:ind w:left="220" w:right="122" w:firstLine="42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使用化学公司防水标签。要求提供材料的MSDS、产品检验报告和危化品证书等相关证书。</w:t>
      </w:r>
    </w:p>
    <w:p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2. 产品包装</w:t>
      </w:r>
    </w:p>
    <w:p>
      <w:pPr>
        <w:pStyle w:val="4"/>
        <w:spacing w:line="257" w:lineRule="auto"/>
        <w:ind w:left="220" w:right="122" w:firstLine="42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300KG/桶，防水防潮，包装要求</w:t>
      </w:r>
      <w:r>
        <w:rPr>
          <w:rFonts w:ascii="微软雅黑" w:hAnsi="微软雅黑" w:eastAsia="微软雅黑"/>
          <w:lang w:eastAsia="zh-CN"/>
        </w:rPr>
        <w:t>无破损</w:t>
      </w:r>
      <w:r>
        <w:rPr>
          <w:rFonts w:hint="eastAsia" w:ascii="微软雅黑" w:hAnsi="微软雅黑" w:eastAsia="微软雅黑"/>
          <w:lang w:eastAsia="zh-CN"/>
        </w:rPr>
        <w:t>，</w:t>
      </w:r>
      <w:r>
        <w:rPr>
          <w:rFonts w:ascii="微软雅黑" w:hAnsi="微软雅黑" w:eastAsia="微软雅黑"/>
          <w:lang w:eastAsia="zh-CN"/>
        </w:rPr>
        <w:t>保持净重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3. 产品运输</w:t>
      </w:r>
    </w:p>
    <w:p>
      <w:pPr>
        <w:pStyle w:val="4"/>
        <w:numPr>
          <w:numId w:val="0"/>
        </w:numPr>
        <w:spacing w:line="257" w:lineRule="auto"/>
        <w:ind w:left="640" w:leftChars="0" w:right="122" w:right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便于材料的卸车，不能使用货柜车运输。</w:t>
      </w:r>
    </w:p>
    <w:p>
      <w:pPr>
        <w:pStyle w:val="19"/>
        <w:numPr>
          <w:ilvl w:val="0"/>
          <w:numId w:val="2"/>
        </w:numPr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技术文件</w:t>
      </w:r>
    </w:p>
    <w:p>
      <w:pPr>
        <w:pStyle w:val="4"/>
        <w:spacing w:line="257" w:lineRule="auto"/>
        <w:ind w:right="122" w:firstLine="42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产品交付技术文件要求：产品合格证、产品说明书、MSDS、出厂检验报告。</w:t>
      </w:r>
    </w:p>
    <w:p>
      <w:pPr>
        <w:pStyle w:val="19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九、技术服务与售后服务</w:t>
      </w:r>
    </w:p>
    <w:p>
      <w:pPr>
        <w:pStyle w:val="4"/>
        <w:spacing w:line="257" w:lineRule="auto"/>
        <w:ind w:right="122" w:firstLine="42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技术联络与响应：卖方在接到买方通知24小时内给予答复，48小时到达现场。</w:t>
      </w:r>
    </w:p>
    <w:p>
      <w:pPr>
        <w:pStyle w:val="19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  <w:lang w:val="en-US" w:eastAsia="zh-CN"/>
        </w:rPr>
        <w:t>*</w:t>
      </w: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十、质量保证</w:t>
      </w:r>
    </w:p>
    <w:p>
      <w:pPr>
        <w:pStyle w:val="4"/>
        <w:numPr>
          <w:ilvl w:val="0"/>
          <w:numId w:val="3"/>
        </w:numPr>
        <w:spacing w:line="257" w:lineRule="auto"/>
        <w:ind w:right="122" w:firstLine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="微软雅黑" w:hAnsi="微软雅黑" w:eastAsia="微软雅黑"/>
          <w:lang w:eastAsia="zh-CN"/>
        </w:rPr>
        <w:t>质保期</w:t>
      </w:r>
      <w:r>
        <w:rPr>
          <w:rFonts w:hint="eastAsia" w:ascii="微软雅黑" w:hAnsi="微软雅黑" w:eastAsia="微软雅黑"/>
          <w:lang w:eastAsia="zh-CN"/>
        </w:rPr>
        <w:t>： 6个月。</w:t>
      </w:r>
      <w:bookmarkEnd w:id="4"/>
      <w:bookmarkEnd w:id="5"/>
    </w:p>
    <w:p>
      <w:pPr>
        <w:pStyle w:val="4"/>
        <w:numPr>
          <w:ilvl w:val="0"/>
          <w:numId w:val="3"/>
        </w:numPr>
        <w:spacing w:line="257" w:lineRule="auto"/>
        <w:ind w:right="122" w:firstLineChars="0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到货验收不合格，无条件退货。</w:t>
      </w:r>
    </w:p>
    <w:p>
      <w:pPr>
        <w:pStyle w:val="4"/>
        <w:numPr>
          <w:ilvl w:val="0"/>
          <w:numId w:val="3"/>
        </w:numPr>
        <w:spacing w:line="257" w:lineRule="auto"/>
        <w:ind w:right="122" w:firstLineChars="0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卖方如不能按期履行</w:t>
      </w:r>
      <w:r>
        <w:rPr>
          <w:rFonts w:hint="eastAsia" w:ascii="微软雅黑" w:hAnsi="微软雅黑" w:eastAsia="微软雅黑"/>
          <w:lang w:val="en-US" w:eastAsia="zh-CN"/>
        </w:rPr>
        <w:t>合同</w:t>
      </w:r>
      <w:r>
        <w:rPr>
          <w:rFonts w:hint="eastAsia" w:ascii="微软雅黑" w:hAnsi="微软雅黑" w:eastAsia="微软雅黑"/>
          <w:lang w:eastAsia="zh-CN"/>
        </w:rPr>
        <w:t>，应赔偿需方货价的5%。</w:t>
      </w:r>
    </w:p>
    <w:p>
      <w:pPr>
        <w:pStyle w:val="19"/>
        <w:spacing w:before="120" w:after="120" w:line="360" w:lineRule="auto"/>
        <w:outlineLvl w:val="0"/>
        <w:rPr>
          <w:rFonts w:cs="Times New Roman" w:asciiTheme="minorEastAsia" w:hAnsiTheme="minorEastAsia" w:eastAsiaTheme="minorEastAsia"/>
          <w:b/>
          <w:bCs/>
          <w:color w:val="auto"/>
        </w:rPr>
      </w:pPr>
      <w:bookmarkStart w:id="6" w:name="_Toc13248931"/>
      <w:bookmarkStart w:id="7" w:name="_Toc13249328"/>
      <w:r>
        <w:rPr>
          <w:rFonts w:hint="eastAsia" w:cs="Times New Roman" w:asciiTheme="minorEastAsia" w:hAnsiTheme="minorEastAsia" w:eastAsiaTheme="minorEastAsia"/>
          <w:b/>
          <w:bCs/>
          <w:color w:val="auto"/>
        </w:rPr>
        <w:t>十二</w:t>
      </w:r>
      <w:r>
        <w:rPr>
          <w:rFonts w:cs="Times New Roman" w:asciiTheme="minorEastAsia" w:hAnsiTheme="minorEastAsia" w:eastAsiaTheme="minorEastAsia"/>
          <w:b/>
          <w:bCs/>
          <w:color w:val="auto"/>
        </w:rPr>
        <w:t>、</w:t>
      </w:r>
      <w:r>
        <w:rPr>
          <w:rFonts w:hint="eastAsia" w:cs="Times New Roman" w:asciiTheme="minorEastAsia" w:hAnsiTheme="minorEastAsia" w:eastAsiaTheme="minorEastAsia"/>
          <w:b/>
          <w:bCs/>
          <w:color w:val="auto"/>
        </w:rPr>
        <w:t>其他</w:t>
      </w:r>
      <w:r>
        <w:rPr>
          <w:rFonts w:cs="Times New Roman" w:asciiTheme="minorEastAsia" w:hAnsiTheme="minorEastAsia" w:eastAsiaTheme="minorEastAsia"/>
          <w:b/>
          <w:bCs/>
          <w:color w:val="auto"/>
        </w:rPr>
        <w:t>要求</w:t>
      </w:r>
      <w:bookmarkEnd w:id="6"/>
      <w:bookmarkEnd w:id="7"/>
    </w:p>
    <w:p>
      <w:pPr>
        <w:pStyle w:val="4"/>
        <w:numPr>
          <w:numId w:val="0"/>
        </w:numPr>
        <w:spacing w:line="360" w:lineRule="auto"/>
        <w:ind w:left="200" w:leftChars="0" w:right="122" w:right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*1 </w:t>
      </w:r>
      <w:bookmarkStart w:id="8" w:name="_GoBack"/>
      <w:bookmarkEnd w:id="8"/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付款方式要求： 货到验收合格后、收到发票及所有验收材料之日起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45天付银行电汇（如付款到期日为非银行工作日，则付款到期日顺延至下一个银行工作日）。</w:t>
      </w:r>
    </w:p>
    <w:p>
      <w:pPr>
        <w:pStyle w:val="4"/>
        <w:numPr>
          <w:numId w:val="0"/>
        </w:numPr>
        <w:spacing w:line="360" w:lineRule="auto"/>
        <w:ind w:left="200" w:leftChars="0" w:right="122" w:rightChars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2.1 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其他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特殊要求：供应商持有的“危险化学品经营许可证”所列的经营销售范围需包括此次采购的产品。</w:t>
      </w:r>
    </w:p>
    <w:p>
      <w:pPr>
        <w:pStyle w:val="4"/>
        <w:numPr>
          <w:numId w:val="0"/>
        </w:numPr>
        <w:spacing w:line="360" w:lineRule="auto"/>
        <w:ind w:left="200" w:leftChars="0" w:right="122" w:right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2.2 合同签署人：方基祥。 过程文件、发票与合同接收人：王晓刚，联系电话：13186699706。合同履行人:周云，ex_zhouyun@cnooc.com.cn；潘玉红panyh4@cnooc.com.cn；陆嘉璐lujl10@cnooc.com.cn。</w:t>
      </w:r>
    </w:p>
    <w:p>
      <w:pPr>
        <w:pStyle w:val="21"/>
        <w:numPr>
          <w:numId w:val="0"/>
        </w:numPr>
        <w:spacing w:line="360" w:lineRule="auto"/>
        <w:ind w:firstLine="240" w:firstLineChars="1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3.1</w:t>
      </w:r>
      <w:r>
        <w:rPr>
          <w:rFonts w:hint="eastAsia" w:asciiTheme="minorEastAsia" w:hAnsiTheme="minorEastAsia"/>
          <w:sz w:val="24"/>
          <w:szCs w:val="24"/>
          <w:lang w:eastAsia="zh-CN"/>
        </w:rPr>
        <w:t xml:space="preserve"> 买方计量验收，若有损耗卖方承担。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asciiTheme="minorEastAsia" w:hAnsiTheme="minorEastAsia"/>
          <w:sz w:val="24"/>
          <w:szCs w:val="24"/>
          <w:lang w:eastAsia="zh-CN"/>
        </w:rPr>
        <w:t xml:space="preserve">.2 </w:t>
      </w:r>
      <w:r>
        <w:rPr>
          <w:rFonts w:hint="eastAsia" w:asciiTheme="minorEastAsia" w:hAnsiTheme="minorEastAsia"/>
          <w:sz w:val="24"/>
          <w:szCs w:val="24"/>
          <w:lang w:eastAsia="zh-CN"/>
        </w:rPr>
        <w:t xml:space="preserve">收货人及联系方式：陆晔    </w:t>
      </w:r>
      <w:r>
        <w:rPr>
          <w:rFonts w:asciiTheme="minorEastAsia" w:hAnsiTheme="minorEastAsia"/>
          <w:sz w:val="24"/>
          <w:szCs w:val="24"/>
          <w:lang w:eastAsia="zh-CN"/>
        </w:rPr>
        <w:t>13921047822</w:t>
      </w:r>
    </w:p>
    <w:p>
      <w:pPr>
        <w:spacing w:line="360" w:lineRule="auto"/>
        <w:ind w:left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asciiTheme="minorEastAsia" w:hAnsiTheme="minorEastAsia"/>
          <w:sz w:val="24"/>
          <w:szCs w:val="24"/>
          <w:lang w:eastAsia="zh-CN"/>
        </w:rPr>
        <w:t xml:space="preserve">.3 </w:t>
      </w:r>
      <w:r>
        <w:rPr>
          <w:rFonts w:hint="eastAsia" w:asciiTheme="minorEastAsia" w:hAnsiTheme="minorEastAsia"/>
          <w:sz w:val="24"/>
          <w:szCs w:val="24"/>
          <w:lang w:eastAsia="zh-CN"/>
        </w:rPr>
        <w:t>入厂检验</w:t>
      </w:r>
      <w:r>
        <w:rPr>
          <w:rFonts w:asciiTheme="minorEastAsia" w:hAnsiTheme="minorEastAsia"/>
          <w:sz w:val="24"/>
          <w:szCs w:val="24"/>
          <w:lang w:eastAsia="zh-CN"/>
        </w:rPr>
        <w:t>要求</w:t>
      </w:r>
    </w:p>
    <w:p>
      <w:pPr>
        <w:spacing w:line="360" w:lineRule="auto"/>
        <w:ind w:left="200" w:firstLine="480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由</w:t>
      </w:r>
      <w:r>
        <w:rPr>
          <w:rFonts w:asciiTheme="minorEastAsia" w:hAnsiTheme="minorEastAsia"/>
          <w:sz w:val="24"/>
          <w:szCs w:val="24"/>
          <w:lang w:eastAsia="zh-CN"/>
        </w:rPr>
        <w:t>买方</w:t>
      </w:r>
      <w:r>
        <w:rPr>
          <w:rFonts w:hint="eastAsia" w:asciiTheme="minorEastAsia" w:hAnsiTheme="minorEastAsia"/>
          <w:sz w:val="24"/>
          <w:szCs w:val="24"/>
          <w:lang w:eastAsia="zh-CN"/>
        </w:rPr>
        <w:t>质检</w:t>
      </w:r>
      <w:r>
        <w:rPr>
          <w:rFonts w:asciiTheme="minorEastAsia" w:hAnsiTheme="minorEastAsia"/>
          <w:sz w:val="24"/>
          <w:szCs w:val="24"/>
          <w:lang w:eastAsia="zh-CN"/>
        </w:rPr>
        <w:t>部门</w:t>
      </w:r>
      <w:r>
        <w:rPr>
          <w:rFonts w:hint="eastAsia" w:asciiTheme="minorEastAsia" w:hAnsiTheme="minorEastAsia"/>
          <w:sz w:val="24"/>
          <w:szCs w:val="24"/>
          <w:lang w:eastAsia="zh-CN"/>
        </w:rPr>
        <w:t>按内控文件</w:t>
      </w:r>
      <w:r>
        <w:rPr>
          <w:rFonts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  <w:lang w:eastAsia="zh-CN"/>
        </w:rPr>
        <w:t>MM-00-01-004原材料技术要求</w:t>
      </w:r>
      <w:r>
        <w:rPr>
          <w:rFonts w:asciiTheme="minorEastAsia" w:hAnsi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/>
          <w:sz w:val="24"/>
          <w:szCs w:val="24"/>
          <w:lang w:eastAsia="zh-CN"/>
        </w:rPr>
        <w:t>验收合格后收货。</w:t>
      </w:r>
    </w:p>
    <w:p>
      <w:pPr>
        <w:widowControl/>
        <w:rPr>
          <w:rFonts w:ascii="微软雅黑" w:hAnsi="微软雅黑" w:eastAsia="微软雅黑"/>
          <w:sz w:val="21"/>
          <w:szCs w:val="21"/>
          <w:lang w:eastAsia="zh-CN"/>
        </w:rPr>
      </w:pPr>
    </w:p>
    <w:p>
      <w:pPr>
        <w:rPr>
          <w:kern w:val="2"/>
          <w:sz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404DB"/>
    <w:multiLevelType w:val="multilevel"/>
    <w:tmpl w:val="065404DB"/>
    <w:lvl w:ilvl="0" w:tentative="0">
      <w:start w:val="1"/>
      <w:numFmt w:val="lowerLetter"/>
      <w:lvlText w:val="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B6542FA"/>
    <w:multiLevelType w:val="multilevel"/>
    <w:tmpl w:val="0B6542FA"/>
    <w:lvl w:ilvl="0" w:tentative="0">
      <w:start w:val="8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A2795B"/>
    <w:multiLevelType w:val="multilevel"/>
    <w:tmpl w:val="58A2795B"/>
    <w:lvl w:ilvl="0" w:tentative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644CF"/>
    <w:rsid w:val="0000013A"/>
    <w:rsid w:val="0000572C"/>
    <w:rsid w:val="00015CC7"/>
    <w:rsid w:val="00051B02"/>
    <w:rsid w:val="00055FDF"/>
    <w:rsid w:val="0005784A"/>
    <w:rsid w:val="000738AA"/>
    <w:rsid w:val="0009050D"/>
    <w:rsid w:val="000E7DCA"/>
    <w:rsid w:val="001323F9"/>
    <w:rsid w:val="0014730F"/>
    <w:rsid w:val="001644CF"/>
    <w:rsid w:val="001A14B2"/>
    <w:rsid w:val="001B3054"/>
    <w:rsid w:val="001C0975"/>
    <w:rsid w:val="001C0CA1"/>
    <w:rsid w:val="00223923"/>
    <w:rsid w:val="00244006"/>
    <w:rsid w:val="00255671"/>
    <w:rsid w:val="00291AC4"/>
    <w:rsid w:val="00296D9D"/>
    <w:rsid w:val="002A26CF"/>
    <w:rsid w:val="002A2EAC"/>
    <w:rsid w:val="002B1010"/>
    <w:rsid w:val="002B756F"/>
    <w:rsid w:val="002D753E"/>
    <w:rsid w:val="002E2797"/>
    <w:rsid w:val="00316452"/>
    <w:rsid w:val="00335848"/>
    <w:rsid w:val="00367E0B"/>
    <w:rsid w:val="0037391E"/>
    <w:rsid w:val="00375004"/>
    <w:rsid w:val="00397269"/>
    <w:rsid w:val="004020A3"/>
    <w:rsid w:val="004077E1"/>
    <w:rsid w:val="004236F4"/>
    <w:rsid w:val="00466C26"/>
    <w:rsid w:val="00477DC1"/>
    <w:rsid w:val="004B3159"/>
    <w:rsid w:val="004D2468"/>
    <w:rsid w:val="004F58DF"/>
    <w:rsid w:val="00501A9C"/>
    <w:rsid w:val="00563677"/>
    <w:rsid w:val="005C1CC9"/>
    <w:rsid w:val="005C6578"/>
    <w:rsid w:val="005D3B9F"/>
    <w:rsid w:val="0060078E"/>
    <w:rsid w:val="006554CC"/>
    <w:rsid w:val="006836E0"/>
    <w:rsid w:val="0069154A"/>
    <w:rsid w:val="006D5366"/>
    <w:rsid w:val="00706113"/>
    <w:rsid w:val="00706FF6"/>
    <w:rsid w:val="00723A5A"/>
    <w:rsid w:val="00753CBD"/>
    <w:rsid w:val="0076111A"/>
    <w:rsid w:val="00767FC6"/>
    <w:rsid w:val="0078770E"/>
    <w:rsid w:val="007E7B83"/>
    <w:rsid w:val="00834BD4"/>
    <w:rsid w:val="00852B10"/>
    <w:rsid w:val="00857686"/>
    <w:rsid w:val="00887616"/>
    <w:rsid w:val="00891164"/>
    <w:rsid w:val="008A30AE"/>
    <w:rsid w:val="008A5EC9"/>
    <w:rsid w:val="008C0E37"/>
    <w:rsid w:val="008D107A"/>
    <w:rsid w:val="008E38B1"/>
    <w:rsid w:val="008F1C83"/>
    <w:rsid w:val="008F696B"/>
    <w:rsid w:val="008F775C"/>
    <w:rsid w:val="009666FF"/>
    <w:rsid w:val="009824EA"/>
    <w:rsid w:val="00997D09"/>
    <w:rsid w:val="009B54BE"/>
    <w:rsid w:val="009C2FD5"/>
    <w:rsid w:val="009E7402"/>
    <w:rsid w:val="00A2514C"/>
    <w:rsid w:val="00A26E86"/>
    <w:rsid w:val="00A27F36"/>
    <w:rsid w:val="00A46CB6"/>
    <w:rsid w:val="00A477F4"/>
    <w:rsid w:val="00A56494"/>
    <w:rsid w:val="00A8052C"/>
    <w:rsid w:val="00A9791A"/>
    <w:rsid w:val="00AB32A9"/>
    <w:rsid w:val="00AD5226"/>
    <w:rsid w:val="00AF3FAB"/>
    <w:rsid w:val="00AF5B72"/>
    <w:rsid w:val="00B06986"/>
    <w:rsid w:val="00B10F50"/>
    <w:rsid w:val="00B15418"/>
    <w:rsid w:val="00B30C4A"/>
    <w:rsid w:val="00B324F3"/>
    <w:rsid w:val="00B3771D"/>
    <w:rsid w:val="00B51EC8"/>
    <w:rsid w:val="00B56245"/>
    <w:rsid w:val="00B56A52"/>
    <w:rsid w:val="00BA05B8"/>
    <w:rsid w:val="00BC6168"/>
    <w:rsid w:val="00BE30B1"/>
    <w:rsid w:val="00BE3C84"/>
    <w:rsid w:val="00BF1115"/>
    <w:rsid w:val="00C142FC"/>
    <w:rsid w:val="00C32797"/>
    <w:rsid w:val="00C55808"/>
    <w:rsid w:val="00C61DB8"/>
    <w:rsid w:val="00C74A9D"/>
    <w:rsid w:val="00CE1FC9"/>
    <w:rsid w:val="00CF5864"/>
    <w:rsid w:val="00D50E01"/>
    <w:rsid w:val="00D71F6F"/>
    <w:rsid w:val="00D8759B"/>
    <w:rsid w:val="00D974DA"/>
    <w:rsid w:val="00E30386"/>
    <w:rsid w:val="00E40C8B"/>
    <w:rsid w:val="00E53CCA"/>
    <w:rsid w:val="00E87CFE"/>
    <w:rsid w:val="00EF142B"/>
    <w:rsid w:val="00F22A9E"/>
    <w:rsid w:val="00F27E0D"/>
    <w:rsid w:val="00F526D2"/>
    <w:rsid w:val="00F67DF4"/>
    <w:rsid w:val="00F7748D"/>
    <w:rsid w:val="00F7796C"/>
    <w:rsid w:val="00FD2EA2"/>
    <w:rsid w:val="0ABD662F"/>
    <w:rsid w:val="0E535146"/>
    <w:rsid w:val="296F3634"/>
    <w:rsid w:val="2A990462"/>
    <w:rsid w:val="345A3E23"/>
    <w:rsid w:val="7B0F15D3"/>
    <w:rsid w:val="7B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1"/>
    <w:pPr>
      <w:spacing w:line="479" w:lineRule="exact"/>
      <w:outlineLvl w:val="1"/>
    </w:pPr>
    <w:rPr>
      <w:rFonts w:ascii="Microsoft YaHei UI" w:hAnsi="Microsoft YaHei UI" w:eastAsia="Microsoft YaHei UI"/>
      <w:spacing w:val="2"/>
      <w:sz w:val="32"/>
      <w:szCs w:val="32"/>
      <w:lang w:eastAsia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ind w:firstLine="200" w:firstLineChars="200"/>
      <w:jc w:val="both"/>
    </w:pPr>
    <w:rPr>
      <w:rFonts w:ascii="Microsoft YaHei UI" w:hAnsi="Microsoft YaHei UI" w:eastAsia="Microsoft YaHei UI"/>
      <w:sz w:val="21"/>
      <w:szCs w:val="21"/>
    </w:rPr>
  </w:style>
  <w:style w:type="paragraph" w:styleId="5">
    <w:name w:val="toc 3"/>
    <w:basedOn w:val="1"/>
    <w:next w:val="1"/>
    <w:unhideWhenUsed/>
    <w:uiPriority w:val="39"/>
    <w:pPr>
      <w:widowControl/>
      <w:spacing w:after="100" w:line="259" w:lineRule="auto"/>
      <w:ind w:left="440"/>
    </w:pPr>
    <w:rPr>
      <w:rFonts w:cs="Times New Roman"/>
      <w:lang w:eastAsia="zh-CN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59" w:lineRule="auto"/>
    </w:pPr>
    <w:rPr>
      <w:rFonts w:cs="Times New Roman"/>
      <w:lang w:eastAsia="zh-CN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字符"/>
    <w:basedOn w:val="12"/>
    <w:link w:val="3"/>
    <w:qFormat/>
    <w:uiPriority w:val="1"/>
    <w:rPr>
      <w:rFonts w:ascii="Microsoft YaHei UI" w:hAnsi="Microsoft YaHei UI" w:eastAsia="Microsoft YaHei UI"/>
      <w:spacing w:val="2"/>
      <w:kern w:val="0"/>
      <w:sz w:val="32"/>
      <w:szCs w:val="32"/>
    </w:rPr>
  </w:style>
  <w:style w:type="table" w:customStyle="1" w:styleId="15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正文文本 字符"/>
    <w:basedOn w:val="12"/>
    <w:link w:val="4"/>
    <w:qFormat/>
    <w:uiPriority w:val="1"/>
    <w:rPr>
      <w:rFonts w:ascii="Microsoft YaHei UI" w:hAnsi="Microsoft YaHei UI" w:eastAsia="Microsoft YaHei UI"/>
      <w:kern w:val="0"/>
      <w:szCs w:val="21"/>
      <w:lang w:eastAsia="en-US"/>
    </w:rPr>
  </w:style>
  <w:style w:type="paragraph" w:customStyle="1" w:styleId="1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Table Paragraph"/>
    <w:basedOn w:val="1"/>
    <w:qFormat/>
    <w:uiPriority w:val="1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标题 1 字符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列出段落1"/>
    <w:basedOn w:val="1"/>
    <w:qFormat/>
    <w:uiPriority w:val="34"/>
    <w:pPr>
      <w:ind w:firstLine="420" w:firstLineChars="200"/>
      <w:jc w:val="both"/>
    </w:pPr>
    <w:rPr>
      <w:rFonts w:ascii="Calibri" w:hAnsi="Calibri" w:eastAsia="宋体" w:cs="Times New Roman"/>
      <w:kern w:val="2"/>
      <w:sz w:val="21"/>
      <w:lang w:eastAsia="zh-CN"/>
    </w:rPr>
  </w:style>
  <w:style w:type="paragraph" w:customStyle="1" w:styleId="23">
    <w:name w:val="设计正文2"/>
    <w:basedOn w:val="1"/>
    <w:qFormat/>
    <w:uiPriority w:val="0"/>
    <w:pPr>
      <w:snapToGrid w:val="0"/>
      <w:spacing w:before="160" w:line="320" w:lineRule="atLeast"/>
      <w:jc w:val="both"/>
    </w:pPr>
    <w:rPr>
      <w:rFonts w:ascii="Times New Roman" w:hAnsi="Times New Roman" w:eastAsia="宋体" w:cs="Times New Roman"/>
      <w:kern w:val="2"/>
      <w:sz w:val="24"/>
      <w:szCs w:val="20"/>
      <w:lang w:eastAsia="zh-CN"/>
    </w:rPr>
  </w:style>
  <w:style w:type="character" w:customStyle="1" w:styleId="24">
    <w:name w:val="页眉 字符"/>
    <w:basedOn w:val="12"/>
    <w:link w:val="8"/>
    <w:qFormat/>
    <w:uiPriority w:val="99"/>
    <w:rPr>
      <w:kern w:val="0"/>
      <w:sz w:val="18"/>
      <w:szCs w:val="18"/>
      <w:lang w:eastAsia="en-US"/>
    </w:rPr>
  </w:style>
  <w:style w:type="character" w:customStyle="1" w:styleId="25">
    <w:name w:val="页脚 字符"/>
    <w:basedOn w:val="12"/>
    <w:link w:val="7"/>
    <w:qFormat/>
    <w:uiPriority w:val="99"/>
    <w:rPr>
      <w:kern w:val="0"/>
      <w:sz w:val="18"/>
      <w:szCs w:val="18"/>
      <w:lang w:eastAsia="en-US"/>
    </w:rPr>
  </w:style>
  <w:style w:type="character" w:customStyle="1" w:styleId="26">
    <w:name w:val="批注框文本 字符"/>
    <w:basedOn w:val="12"/>
    <w:link w:val="6"/>
    <w:semiHidden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cnooc-tly</Company>
  <Pages>1</Pages>
  <Words>120</Words>
  <Characters>685</Characters>
  <Lines>5</Lines>
  <Paragraphs>1</Paragraphs>
  <TotalTime>8</TotalTime>
  <ScaleCrop>false</ScaleCrop>
  <LinksUpToDate>false</LinksUpToDate>
  <CharactersWithSpaces>804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2020-09-04T00:37:00Z</dcterms:created>
  <dc:creator>王琴</dc:creator>
  <cp:lastModifiedBy>王晓刚</cp:lastModifiedBy>
  <cp:lastPrinted>2020-09-25T08:45:00Z</cp:lastPrinted>
  <dcterms:modified xsi:type="dcterms:W3CDTF">2023-03-22T05:33:27Z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E27CAE9FFB0E4BEC8A810028BBCD4C6A</vt:lpwstr>
  </property>
</Properties>
</file>